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C4" w:rsidRPr="00E66DC4" w:rsidRDefault="00E66DC4" w:rsidP="00E66DC4">
      <w:pPr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DC4" w:rsidRPr="00E66DC4" w:rsidRDefault="00E66DC4" w:rsidP="00E66D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– PR-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акциялардың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>.</w:t>
      </w:r>
    </w:p>
    <w:p w:rsidR="00E66DC4" w:rsidRPr="00E66DC4" w:rsidRDefault="00E66DC4" w:rsidP="00E66D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өзгеріссіз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шамасына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>.</w:t>
      </w:r>
    </w:p>
    <w:p w:rsidR="00E66DC4" w:rsidRPr="00E66DC4" w:rsidRDefault="00E66DC4" w:rsidP="00E66D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бекітілгеннен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менеджерге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жүктеледі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асырылуына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барысын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ауытқулар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алатынына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менеджердің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көлеміндегі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ауытқулардың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барысына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кестеден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қалыс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ауытқудың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деңгейінен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жылдамдату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>.</w:t>
      </w:r>
    </w:p>
    <w:p w:rsidR="00E66DC4" w:rsidRPr="00E66DC4" w:rsidRDefault="00E66DC4" w:rsidP="00E66D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аяқтағанға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аяқталуы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уақытынан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аяқталғанда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аяқтайтын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жобада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жабдық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пайдаланылса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түгендеуді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қанағаттандырады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келісім-шарт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Мұрағат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>.</w:t>
      </w:r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E66D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E66DC4">
        <w:rPr>
          <w:rFonts w:ascii="Times New Roman" w:hAnsi="Times New Roman" w:cs="Times New Roman"/>
          <w:b/>
          <w:sz w:val="28"/>
          <w:szCs w:val="28"/>
        </w:rPr>
        <w:t>:</w:t>
      </w:r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Лерман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Заңын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Кромер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Заңын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, Браун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Марк Твен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PR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DC4">
        <w:rPr>
          <w:rFonts w:ascii="Times New Roman" w:hAnsi="Times New Roman" w:cs="Times New Roman"/>
          <w:b/>
          <w:sz w:val="28"/>
          <w:szCs w:val="28"/>
        </w:rPr>
        <w:t>Ұсынылатын</w:t>
      </w:r>
      <w:proofErr w:type="spellEnd"/>
      <w:r w:rsidRPr="00E66D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b/>
          <w:sz w:val="28"/>
          <w:szCs w:val="28"/>
        </w:rPr>
        <w:t>әдебиет</w:t>
      </w:r>
      <w:proofErr w:type="spellEnd"/>
      <w:r w:rsidRPr="00E66DC4">
        <w:rPr>
          <w:rFonts w:ascii="Times New Roman" w:hAnsi="Times New Roman" w:cs="Times New Roman"/>
          <w:b/>
          <w:sz w:val="28"/>
          <w:szCs w:val="28"/>
        </w:rPr>
        <w:t>:</w:t>
      </w:r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1. Грей К. Ф.,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Ларсон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Э. У.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Болезней. М.:2014 </w:t>
      </w:r>
    </w:p>
    <w:p w:rsidR="00E66DC4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2.  Дэвид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Мирман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Скотт. Маркетинг пен PR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М.: Альпина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>. 2015</w:t>
      </w:r>
    </w:p>
    <w:p w:rsidR="00601A4F" w:rsidRPr="00E66DC4" w:rsidRDefault="00E66DC4" w:rsidP="00E66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DC4">
        <w:rPr>
          <w:rFonts w:ascii="Times New Roman" w:hAnsi="Times New Roman" w:cs="Times New Roman"/>
          <w:sz w:val="28"/>
          <w:szCs w:val="28"/>
        </w:rPr>
        <w:t xml:space="preserve">3. Сазерленд Д.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революциялық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. М. Изд.: Манн, Иванов </w:t>
      </w:r>
      <w:proofErr w:type="spellStart"/>
      <w:r w:rsidRPr="00E66D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6DC4">
        <w:rPr>
          <w:rFonts w:ascii="Times New Roman" w:hAnsi="Times New Roman" w:cs="Times New Roman"/>
          <w:sz w:val="28"/>
          <w:szCs w:val="28"/>
        </w:rPr>
        <w:t xml:space="preserve"> Фербер, 2016</w:t>
      </w:r>
    </w:p>
    <w:p w:rsidR="00E66DC4" w:rsidRPr="00E66DC4" w:rsidRDefault="00E66D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6DC4" w:rsidRPr="00E6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88"/>
    <w:rsid w:val="00601A4F"/>
    <w:rsid w:val="006C2D88"/>
    <w:rsid w:val="00E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4542-69E7-4D8F-8EF8-56DB4C93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2019-10-30T12:26:00Z</dcterms:created>
  <dcterms:modified xsi:type="dcterms:W3CDTF">2019-10-30T12:27:00Z</dcterms:modified>
</cp:coreProperties>
</file>